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D1" w:rsidRPr="00E25DD1" w:rsidRDefault="00E25DD1" w:rsidP="00E25DD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25DD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Как работает ПСН, если в ее целях регион делится на группы муниципальных образований</w:t>
      </w:r>
    </w:p>
    <w:p w:rsidR="00E25DD1" w:rsidRPr="00E25DD1" w:rsidRDefault="00E25DD1" w:rsidP="00E25DD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25DD1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16 июня 2017 г. № </w:t>
      </w:r>
      <w:hyperlink r:id="rId4" w:history="1">
        <w:r w:rsidRPr="00E25DD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СД-4-3/11397@</w:t>
        </w:r>
      </w:hyperlink>
      <w:r w:rsidRPr="00E25DD1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указала, что в целях </w:t>
      </w:r>
      <w:hyperlink r:id="rId5" w:tooltip="ПСН (определение, описание, подробности)" w:history="1">
        <w:r w:rsidRPr="00E25DD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ПСН</w:t>
        </w:r>
      </w:hyperlink>
      <w:r w:rsidRPr="00E25DD1">
        <w:rPr>
          <w:rFonts w:ascii="Times New Roman" w:eastAsia="Times New Roman" w:hAnsi="Times New Roman" w:cs="Times New Roman"/>
          <w:color w:val="333333"/>
          <w:sz w:val="24"/>
          <w:szCs w:val="24"/>
        </w:rPr>
        <w:t> субъекты РФ вправе для установления размеров потенциально возможного к получению ИП годового дохода по видам деятельности, в отношении которых применяется ПСН, дифференцировать территорию субъекта РФ по территориям действия патентов по муниципальным образованиям (группам муниципальных образований), за исключением патентов на некоторые виды деятельности.</w:t>
      </w:r>
      <w:proofErr w:type="gramEnd"/>
    </w:p>
    <w:p w:rsidR="00E25DD1" w:rsidRPr="00E25DD1" w:rsidRDefault="00E25DD1" w:rsidP="00E25DD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DD1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Например, на территории Саратовской области определены 5 групп муниципальных образований, для каждой из которой установлены значения потенциально возможного к получению ИП годового дохода. Каждая из 5 групп муниципальных образований включает в себя территории, подведомственные различным налоговым инспекциям.</w:t>
      </w:r>
    </w:p>
    <w:p w:rsidR="00E25DD1" w:rsidRPr="00E25DD1" w:rsidRDefault="00E25DD1" w:rsidP="00E25DD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DD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ИП планирует вести деятельность на территории нескольких муниципальных образований, относящихся к одной группе, и при этом он на данной территории не состоит на учете ни по месту жительства, ни в качестве налогоплательщика ПСН, то заявление подается в любой территориальный налоговый орган по месту планируемого ведения деятельности.</w:t>
      </w:r>
    </w:p>
    <w:p w:rsidR="00E25DD1" w:rsidRPr="00E25DD1" w:rsidRDefault="00E25DD1" w:rsidP="00E25DD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DD1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территории действия патента указываются в патенте.</w:t>
      </w:r>
    </w:p>
    <w:p w:rsidR="00E25DD1" w:rsidRPr="00E25DD1" w:rsidRDefault="00E25DD1" w:rsidP="00E25DD1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25DD1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Соответственно, стоимость патента исчисляется исходя из размера потенциально возможного к получению ИП годового дохода, установленного региональным законом для данной группы муниципальных образований. Полученный патент будет действовать на территории тех муниципальных образований, которые включены в определенную группу</w:t>
      </w:r>
      <w:r w:rsidRPr="00E25DD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368C9" w:rsidRDefault="006368C9"/>
    <w:sectPr w:rsidR="0063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DD1"/>
    <w:rsid w:val="006368C9"/>
    <w:rsid w:val="00E2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5D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patentnaya_sistema_nalogooblozheniya_psn.html" TargetMode="External"/><Relationship Id="rId4" Type="http://schemas.openxmlformats.org/officeDocument/2006/relationships/hyperlink" Target="https://www.audit-it.ru/law/account/9145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2017-07-21T04:54:00Z</dcterms:created>
  <dcterms:modified xsi:type="dcterms:W3CDTF">2017-07-21T04:55:00Z</dcterms:modified>
</cp:coreProperties>
</file>